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7285A" w14:textId="77777777" w:rsidR="006527EC" w:rsidRDefault="00000000">
      <w:pPr>
        <w:spacing w:after="80"/>
      </w:pPr>
      <w:r>
        <w:rPr>
          <w:rFonts w:ascii="Roboto Slab" w:eastAsia="Roboto Slab" w:hAnsi="Roboto Slab" w:cs="Roboto Slab"/>
          <w:b/>
          <w:bCs/>
          <w:color w:val="32B7B8"/>
          <w:sz w:val="40"/>
          <w:szCs w:val="40"/>
        </w:rPr>
        <w:t>12 Ways to Liven Up Your Board Meetings</w:t>
      </w:r>
    </w:p>
    <w:p w14:paraId="6DD3FEE7" w14:textId="77777777" w:rsidR="006527EC" w:rsidRDefault="00000000">
      <w:pPr>
        <w:spacing w:after="200"/>
      </w:pPr>
      <w:r>
        <w:rPr>
          <w:rFonts w:ascii="Roboto" w:eastAsia="Roboto" w:hAnsi="Roboto" w:cs="Roboto"/>
          <w:i/>
          <w:iCs/>
          <w:color w:val="3B373F"/>
          <w:sz w:val="24"/>
          <w:szCs w:val="24"/>
        </w:rPr>
        <w:t>Practical adjustments for a more engaged, higher-functioning board</w:t>
      </w:r>
    </w:p>
    <w:p w14:paraId="78E6C792" w14:textId="77777777" w:rsidR="006527EC" w:rsidRDefault="006527EC">
      <w:pPr>
        <w:pBdr>
          <w:bottom w:val="single" w:sz="12" w:space="0" w:color="FFDE00"/>
        </w:pBdr>
        <w:spacing w:after="240"/>
      </w:pPr>
    </w:p>
    <w:p w14:paraId="48831C35" w14:textId="77777777" w:rsidR="006527EC" w:rsidRDefault="00000000">
      <w:pPr>
        <w:spacing w:after="180"/>
      </w:pPr>
      <w:r>
        <w:rPr>
          <w:rFonts w:ascii="Roboto" w:eastAsia="Roboto" w:hAnsi="Roboto" w:cs="Roboto"/>
          <w:color w:val="3B373F"/>
          <w:sz w:val="22"/>
          <w:szCs w:val="22"/>
        </w:rPr>
        <w:t>Too many board meetings settle into a predictable rhythm of reports and passive listening, and the board’s attention drifts as a result. The following practices bring more energy and engagement to the room — select a few and apply them at your next meeting.</w:t>
      </w:r>
    </w:p>
    <w:p w14:paraId="68DDF3F2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1. Focus on Results</w:t>
      </w:r>
    </w:p>
    <w:p w14:paraId="25E46AD3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Shift meeting time away from routine reporting and toward outcomes — what changed, and what it means for the mission. A results-oriented agenda signals that the board’s time is being used to govern, not simply to receive updates.</w:t>
      </w:r>
    </w:p>
    <w:p w14:paraId="46E2E74F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 xml:space="preserve">2. Restructure the Agenda </w:t>
      </w:r>
      <w:proofErr w:type="gramStart"/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With</w:t>
      </w:r>
      <w:proofErr w:type="gramEnd"/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 xml:space="preserve"> Intention</w:t>
      </w:r>
    </w:p>
    <w:p w14:paraId="09D0A68E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Place routine or procedural items last, not first — a board’s attention is highest at the start of a meeting. Vary the format from meeting to meeting rather than repeating the same template indefinitely.</w:t>
      </w:r>
    </w:p>
    <w:p w14:paraId="24925BCC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3. Focus on Problems, Challenges, and Broad Issues</w:t>
      </w:r>
    </w:p>
    <w:p w14:paraId="1DD85C28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Bring the board strategic questions rather than a stream of status updates — this is where its collective judgment is most valuable. Reserve routine updates for written reports circulated in advance.</w:t>
      </w:r>
    </w:p>
    <w:p w14:paraId="1054231B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4. Present Trends, Not Just Numbers</w:t>
      </w:r>
    </w:p>
    <w:p w14:paraId="06D37B9C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Present financial and program data as trends — quarter over quarter, year over year — rather than a single snapshot. Three years of donor retention data tells a far more actionable story than one month’s total.</w:t>
      </w:r>
    </w:p>
    <w:p w14:paraId="7A39B702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5. Plan Big</w:t>
      </w:r>
    </w:p>
    <w:p w14:paraId="132EAF6E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Offer the board an ambitious challenge worthy of their attention, not just incremental operational decisions. Bring them the multi-year questions where their perspective shapes the organization’s future.</w:t>
      </w:r>
    </w:p>
    <w:p w14:paraId="010CD16D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6. Create Space to Celebrate Wins</w:t>
      </w:r>
    </w:p>
    <w:p w14:paraId="63CAFA7E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Reserve dedicated time to mark accomplishments before pivoting to the next problem. A few minutes spent recognizing a success renews morale and reconnects members to why the work matters.</w:t>
      </w:r>
    </w:p>
    <w:p w14:paraId="7CF8A0F1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7. Use Consent Agendas</w:t>
      </w:r>
    </w:p>
    <w:p w14:paraId="69433BCE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 xml:space="preserve">Bundle routine, non-controversial items into a single vote taken near the start of the meeting. This can reclaim twenty minutes or more for the discussion that </w:t>
      </w:r>
      <w:proofErr w:type="gramStart"/>
      <w:r>
        <w:rPr>
          <w:rFonts w:ascii="Roboto" w:eastAsia="Roboto" w:hAnsi="Roboto" w:cs="Roboto"/>
          <w:color w:val="3B373F"/>
          <w:sz w:val="22"/>
          <w:szCs w:val="22"/>
        </w:rPr>
        <w:t>actually needs</w:t>
      </w:r>
      <w:proofErr w:type="gramEnd"/>
      <w:r>
        <w:rPr>
          <w:rFonts w:ascii="Roboto" w:eastAsia="Roboto" w:hAnsi="Roboto" w:cs="Roboto"/>
          <w:color w:val="3B373F"/>
          <w:sz w:val="22"/>
          <w:szCs w:val="22"/>
        </w:rPr>
        <w:t xml:space="preserve"> the room.</w:t>
      </w:r>
    </w:p>
    <w:p w14:paraId="535A2A39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8. Interview the Executive Director</w:t>
      </w:r>
    </w:p>
    <w:p w14:paraId="4512A51F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In place of a standard verbal report, have a board member conduct a brief, prepared interview with the Executive Director. The conversational format draws out context a formal report often omits.</w:t>
      </w:r>
    </w:p>
    <w:p w14:paraId="77557CFC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9. Include One Substantive Discussion Item</w:t>
      </w:r>
    </w:p>
    <w:p w14:paraId="25A8D0E0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Every agenda should carry at least one topic significant enough that members want to weigh in. Its absence is worth noting — it may signal the board’s time is not being used at its highest and best purpose.</w:t>
      </w:r>
    </w:p>
    <w:p w14:paraId="5861E87B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lastRenderedPageBreak/>
        <w:t>10. Select a Theme for Each Meeting</w:t>
      </w:r>
    </w:p>
    <w:p w14:paraId="3F209EFC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Organize each meeting’s agenda loosely around a single focus rather than a uniform rotation of standing reports. A theme gives the meeting shape and makes each session more memorable.</w:t>
      </w:r>
    </w:p>
    <w:p w14:paraId="617FFD64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11. Open With a Mission Moment</w:t>
      </w:r>
    </w:p>
    <w:p w14:paraId="0628C8FD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Begin meetings with a short story or brief reminder of why the work matters — two or three minutes is enough. It reconnects the room to purpose before the business of the meeting begins.</w:t>
      </w:r>
    </w:p>
    <w:p w14:paraId="65B33559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12. Break Into Small Groups</w:t>
      </w:r>
    </w:p>
    <w:p w14:paraId="27129450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Large-group discussion favors the most vocal members in the room, while quieter members hold back. Dividing into pairs or small groups draws substantially more members into active discussion.</w:t>
      </w:r>
    </w:p>
    <w:p w14:paraId="0ED09A01" w14:textId="77777777" w:rsidR="006527EC" w:rsidRDefault="00000000">
      <w:pPr>
        <w:spacing w:before="260" w:after="10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Two Additional Practices Worth Adopting</w:t>
      </w:r>
    </w:p>
    <w:p w14:paraId="73B0E324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Limit Committee Report Time</w:t>
      </w:r>
    </w:p>
    <w:p w14:paraId="6406C08E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 xml:space="preserve">Set a firm two-minute limit on each committee </w:t>
      </w:r>
      <w:proofErr w:type="gramStart"/>
      <w:r>
        <w:rPr>
          <w:rFonts w:ascii="Roboto" w:eastAsia="Roboto" w:hAnsi="Roboto" w:cs="Roboto"/>
          <w:color w:val="3B373F"/>
          <w:sz w:val="22"/>
          <w:szCs w:val="22"/>
        </w:rPr>
        <w:t>report, and</w:t>
      </w:r>
      <w:proofErr w:type="gramEnd"/>
      <w:r>
        <w:rPr>
          <w:rFonts w:ascii="Roboto" w:eastAsia="Roboto" w:hAnsi="Roboto" w:cs="Roboto"/>
          <w:color w:val="3B373F"/>
          <w:sz w:val="22"/>
          <w:szCs w:val="22"/>
        </w:rPr>
        <w:t xml:space="preserve"> hold to it consistently. Committees that need more time can circulate a written report in advance instead.</w:t>
      </w:r>
    </w:p>
    <w:p w14:paraId="7215F7C0" w14:textId="77777777" w:rsidR="006527EC" w:rsidRDefault="00000000">
      <w:pPr>
        <w:spacing w:before="200" w:after="6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Invest in Facilitation Training for Your Board Chair</w:t>
      </w:r>
    </w:p>
    <w:p w14:paraId="4FCE7DBB" w14:textId="77777777" w:rsidR="006527EC" w:rsidRDefault="00000000">
      <w:pPr>
        <w:spacing w:after="40"/>
      </w:pPr>
      <w:r>
        <w:rPr>
          <w:rFonts w:ascii="Roboto" w:eastAsia="Roboto" w:hAnsi="Roboto" w:cs="Roboto"/>
          <w:color w:val="3B373F"/>
          <w:sz w:val="22"/>
          <w:szCs w:val="22"/>
        </w:rPr>
        <w:t>Pacing an agenda and moving a group toward decisions are learned skills, not innate ones. A modest investment in facilitation training pays off at every meeting that follows.</w:t>
      </w:r>
    </w:p>
    <w:p w14:paraId="3FBA47E0" w14:textId="77777777" w:rsidR="006527EC" w:rsidRDefault="006527EC">
      <w:pPr>
        <w:pBdr>
          <w:top w:val="single" w:sz="6" w:space="0" w:color="CCCCCC"/>
        </w:pBdr>
        <w:spacing w:before="320" w:after="160"/>
      </w:pPr>
    </w:p>
    <w:p w14:paraId="68642727" w14:textId="77777777" w:rsidR="006527EC" w:rsidRDefault="00000000">
      <w:pPr>
        <w:spacing w:after="100"/>
      </w:pPr>
      <w:r>
        <w:rPr>
          <w:rFonts w:ascii="Roboto Slab" w:eastAsia="Roboto Slab" w:hAnsi="Roboto Slab" w:cs="Roboto Slab"/>
          <w:b/>
          <w:bCs/>
          <w:color w:val="32B7B8"/>
          <w:sz w:val="24"/>
          <w:szCs w:val="24"/>
        </w:rPr>
        <w:t>About Gail Perry</w:t>
      </w:r>
    </w:p>
    <w:p w14:paraId="653EE7A5" w14:textId="77777777" w:rsidR="006527EC" w:rsidRDefault="00000000">
      <w:pPr>
        <w:spacing w:after="100"/>
      </w:pPr>
      <w:r>
        <w:rPr>
          <w:rFonts w:ascii="Roboto" w:eastAsia="Roboto" w:hAnsi="Roboto" w:cs="Roboto"/>
          <w:color w:val="3B373F"/>
        </w:rPr>
        <w:t>Gail Perry is an internationally recognized philanthropy expert, keynote speaker, and board governance strategist with more than 30 years of experience helping nonprofit boards become energized, high-performing teams. She has helped organizations raise over a billion dollars for their missions. Named one of America’s Top 20 Fundraising Experts and a LinkedIn Top Voice in Philanthropy, she is the author of the upcoming Easy Fundraising &amp; Friendmaking for Board Members. For more on Gail’s workshops and consulting: g.perry@gailperry.com.</w:t>
      </w:r>
    </w:p>
    <w:p w14:paraId="39499509" w14:textId="77777777" w:rsidR="006527EC" w:rsidRDefault="00000000">
      <w:pPr>
        <w:spacing w:before="400"/>
        <w:jc w:val="center"/>
      </w:pPr>
      <w:r>
        <w:rPr>
          <w:rFonts w:ascii="Roboto" w:eastAsia="Roboto" w:hAnsi="Roboto" w:cs="Roboto"/>
          <w:color w:val="999999"/>
          <w:sz w:val="18"/>
          <w:szCs w:val="18"/>
        </w:rPr>
        <w:t xml:space="preserve">Gail Perry </w:t>
      </w:r>
      <w:proofErr w:type="gramStart"/>
      <w:r>
        <w:rPr>
          <w:rFonts w:ascii="Roboto" w:eastAsia="Roboto" w:hAnsi="Roboto" w:cs="Roboto"/>
          <w:color w:val="999999"/>
          <w:sz w:val="18"/>
          <w:szCs w:val="18"/>
        </w:rPr>
        <w:t>Group  |</w:t>
      </w:r>
      <w:proofErr w:type="gramEnd"/>
      <w:r>
        <w:rPr>
          <w:rFonts w:ascii="Roboto" w:eastAsia="Roboto" w:hAnsi="Roboto" w:cs="Roboto"/>
          <w:color w:val="999999"/>
          <w:sz w:val="18"/>
          <w:szCs w:val="18"/>
        </w:rPr>
        <w:t xml:space="preserve">  gailperrygroup.com</w:t>
      </w:r>
    </w:p>
    <w:sectPr w:rsidR="006527EC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Slab">
    <w:panose1 w:val="020B0604020202020204"/>
    <w:charset w:val="00"/>
    <w:family w:val="auto"/>
    <w:pitch w:val="variable"/>
    <w:sig w:usb0="000004FF" w:usb1="8000405F" w:usb2="00000022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329F0"/>
    <w:multiLevelType w:val="hybridMultilevel"/>
    <w:tmpl w:val="3A9006BE"/>
    <w:lvl w:ilvl="0" w:tplc="E2486B20">
      <w:start w:val="1"/>
      <w:numFmt w:val="bullet"/>
      <w:lvlText w:val="●"/>
      <w:lvlJc w:val="left"/>
      <w:pPr>
        <w:ind w:left="720" w:hanging="360"/>
      </w:pPr>
    </w:lvl>
    <w:lvl w:ilvl="1" w:tplc="41860718">
      <w:start w:val="1"/>
      <w:numFmt w:val="bullet"/>
      <w:lvlText w:val="○"/>
      <w:lvlJc w:val="left"/>
      <w:pPr>
        <w:ind w:left="1440" w:hanging="360"/>
      </w:pPr>
    </w:lvl>
    <w:lvl w:ilvl="2" w:tplc="5FB04482">
      <w:start w:val="1"/>
      <w:numFmt w:val="bullet"/>
      <w:lvlText w:val="■"/>
      <w:lvlJc w:val="left"/>
      <w:pPr>
        <w:ind w:left="2160" w:hanging="360"/>
      </w:pPr>
    </w:lvl>
    <w:lvl w:ilvl="3" w:tplc="84F8A7AA">
      <w:start w:val="1"/>
      <w:numFmt w:val="bullet"/>
      <w:lvlText w:val="●"/>
      <w:lvlJc w:val="left"/>
      <w:pPr>
        <w:ind w:left="2880" w:hanging="360"/>
      </w:pPr>
    </w:lvl>
    <w:lvl w:ilvl="4" w:tplc="B73ACBBA">
      <w:start w:val="1"/>
      <w:numFmt w:val="bullet"/>
      <w:lvlText w:val="○"/>
      <w:lvlJc w:val="left"/>
      <w:pPr>
        <w:ind w:left="3600" w:hanging="360"/>
      </w:pPr>
    </w:lvl>
    <w:lvl w:ilvl="5" w:tplc="38126D10">
      <w:start w:val="1"/>
      <w:numFmt w:val="bullet"/>
      <w:lvlText w:val="■"/>
      <w:lvlJc w:val="left"/>
      <w:pPr>
        <w:ind w:left="4320" w:hanging="360"/>
      </w:pPr>
    </w:lvl>
    <w:lvl w:ilvl="6" w:tplc="838E4B1C">
      <w:start w:val="1"/>
      <w:numFmt w:val="bullet"/>
      <w:lvlText w:val="●"/>
      <w:lvlJc w:val="left"/>
      <w:pPr>
        <w:ind w:left="5040" w:hanging="360"/>
      </w:pPr>
    </w:lvl>
    <w:lvl w:ilvl="7" w:tplc="CF241F50">
      <w:start w:val="1"/>
      <w:numFmt w:val="bullet"/>
      <w:lvlText w:val="●"/>
      <w:lvlJc w:val="left"/>
      <w:pPr>
        <w:ind w:left="5760" w:hanging="360"/>
      </w:pPr>
    </w:lvl>
    <w:lvl w:ilvl="8" w:tplc="B246B79C">
      <w:start w:val="1"/>
      <w:numFmt w:val="bullet"/>
      <w:lvlText w:val="●"/>
      <w:lvlJc w:val="left"/>
      <w:pPr>
        <w:ind w:left="6480" w:hanging="360"/>
      </w:pPr>
    </w:lvl>
  </w:abstractNum>
  <w:num w:numId="1" w16cid:durableId="9893337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7EC"/>
    <w:rsid w:val="00003219"/>
    <w:rsid w:val="0022315F"/>
    <w:rsid w:val="0065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F12493"/>
  <w15:docId w15:val="{C851A203-4E3C-0E4B-8157-CEA9448A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Gail Perry</cp:lastModifiedBy>
  <cp:revision>2</cp:revision>
  <dcterms:created xsi:type="dcterms:W3CDTF">2026-07-24T21:06:00Z</dcterms:created>
  <dcterms:modified xsi:type="dcterms:W3CDTF">2026-07-24T21:06:00Z</dcterms:modified>
</cp:coreProperties>
</file>